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759"/>
        <w:gridCol w:w="1502"/>
      </w:tblGrid>
      <w:tr>
        <w:tc>
          <w:tcPr>
            <w:tcW w:type="dxa" w:w="8759"/>
            <w:vAlign w:val="top"/>
          </w:tcPr>
          <w:p>
            <w:pPr>
              <w:pStyle w:val="Title"/>
              <w:spacing w:line="580" w:lineRule="exact" w:after="60"/>
            </w:pPr>
            <w:r>
              <w:rPr>
                <w:rFonts w:ascii="Arial" w:hAnsi="Arial" w:eastAsia="Hiragino Sans GB" w:cs="Arial"/>
                <w:b/>
                <w:color w:val="000000"/>
                <w:sz w:val="48"/>
                <w:lang w:val="en-US" w:eastAsia="zh-CN"/>
                <w:lang w:eastAsia="zh-CN"/>
              </w:rPr>
              <w:t>唐何</w:t>
            </w:r>
          </w:p>
          <w:p>
            <w:pPr>
              <w:spacing w:after="60" w:line="320" w:lineRule="exact"/>
            </w:pPr>
            <w:r>
              <w:rPr>
                <w:rFonts w:ascii="Arial" w:hAnsi="Arial" w:eastAsia="Hiragino Sans GB" w:cs="Arial"/>
                <w:b/>
                <w:color w:val="222222"/>
                <w:sz w:val="21"/>
              </w:rPr>
              <w:t>求职意向：B 端 AI 产品经理 / 技术型产品经理</w:t>
            </w:r>
          </w:p>
          <w:p>
            <w:pPr>
              <w:spacing w:after="30" w:line="260" w:lineRule="exact"/>
            </w:pPr>
            <w:r>
              <w:rPr>
                <w:rFonts w:ascii="Arial" w:hAnsi="Arial" w:eastAsia="Hiragino Sans GB" w:cs="Arial"/>
                <w:b w:val="0"/>
                <w:color w:val="222222"/>
                <w:sz w:val="21"/>
                <w:lang w:val="en-US" w:eastAsia="zh-CN"/>
                <w:lang w:eastAsia="zh-CN"/>
              </w:rPr>
              <w:t>19174148197  |  tomhank2020@163.com  |  上海</w:t>
            </w:r>
          </w:p>
          <w:p>
            <w:pPr>
              <w:spacing w:after="0" w:line="250" w:lineRule="exact"/>
            </w:pPr>
            <w:hyperlink r:id="rId9">
              <w:r>
                <w:rPr>
                  <w:rFonts w:ascii="Arial" w:hAnsi="Arial" w:eastAsia="Noto Sans CJK SC"/>
                  <w:color w:val="526274"/>
                  <w:sz w:val="19"/>
                </w:rPr>
                <w:t>github.com/het2333</w:t>
              </w:r>
            </w:hyperlink>
          </w:p>
          <w:p>
            <w:pPr>
              <w:spacing w:after="60" w:line="259" w:lineRule="auto"/>
            </w:pPr>
            <w:r>
              <w:rPr>
                <w:rFonts w:ascii="Arial" w:hAnsi="Arial" w:eastAsia="Hiragino Sans GB" w:cs="Arial"/>
                <w:b w:val="0"/>
                <w:color w:val="2454A6"/>
                <w:sz w:val="19"/>
                <w:lang w:eastAsia="zh-CN"/>
              </w:rPr>
              <w:t>【待补充：可外部访问的作品集／Demo 链接】</w:t>
            </w:r>
          </w:p>
        </w:tc>
        <w:tc>
          <w:tcPr>
            <w:tcW w:type="dxa" w:w="1502"/>
            <w:vAlign w:val="top"/>
          </w:tcPr>
          <w:p>
            <w:pPr>
              <w:spacing w:after="0"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810000" cy="810000"/>
                  <wp:docPr id="1" name="Picture 1" descr="简历原件中的证件照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rtrait_0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000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widowControl/>
        <w:spacing w:before="140" w:after="80" w:line="264" w:lineRule="auto"/>
        <w:keepNext/>
      </w:pPr>
      <w:r>
        <w:rPr>
          <w:rFonts w:ascii="Arial" w:hAnsi="Arial" w:eastAsia="Hiragino Sans GB" w:cs="Arial"/>
          <w:b/>
          <w:color w:val="000000"/>
          <w:sz w:val="24"/>
          <w:lang w:eastAsia="zh-CN"/>
        </w:rPr>
        <w:t>个人概述</w:t>
      </w:r>
    </w:p>
    <w:p>
      <w:pPr>
        <w:keepNext w:val="0"/>
        <w:keepLines/>
        <w:widowControl/>
        <w:spacing w:before="0" w:after="60" w:line="264" w:lineRule="auto"/>
      </w:pPr>
      <w:r>
        <w:rPr>
          <w:rFonts w:ascii="Arial" w:hAnsi="Arial" w:eastAsia="Hiragino Sans GB" w:cs="Arial"/>
          <w:b w:val="0"/>
          <w:color w:val="000000"/>
          <w:sz w:val="21"/>
        </w:rPr>
        <w:t>系统科学硕士，聚焦 B 端 AI 产品。具备工业询报价与企业知识工作台实践，覆盖用户访谈、需求优先级、AI 方案取舍、研发协作和业务验收；能参与原型开发，以真实使用审计与分层评测推动迭代。</w:t>
      </w:r>
    </w:p>
    <w:p>
      <w:pPr>
        <w:pStyle w:val="Heading1"/>
        <w:widowControl/>
        <w:spacing w:before="140" w:after="80" w:line="264" w:lineRule="auto"/>
        <w:keepNext/>
      </w:pPr>
      <w:r>
        <w:rPr>
          <w:rFonts w:ascii="Arial" w:hAnsi="Arial" w:eastAsia="Hiragino Sans GB" w:cs="Arial"/>
          <w:b/>
          <w:color w:val="000000"/>
          <w:sz w:val="24"/>
          <w:lang w:eastAsia="zh-CN"/>
        </w:rPr>
        <w:t>工作经历</w:t>
      </w:r>
    </w:p>
    <w:p>
      <w:pPr>
        <w:keepNext/>
        <w:keepLines/>
        <w:widowControl/>
        <w:tabs>
          <w:tab w:pos="10035" w:val="right"/>
        </w:tabs>
        <w:spacing w:before="0" w:after="80" w:line="264" w:lineRule="auto"/>
      </w:pPr>
      <w:r>
        <w:rPr>
          <w:rFonts w:ascii="Arial" w:hAnsi="Arial" w:eastAsia="Hiragino Sans GB" w:cs="Arial"/>
          <w:b/>
          <w:color w:val="222222"/>
          <w:sz w:val="22"/>
          <w:lang w:eastAsia="zh-CN"/>
        </w:rPr>
        <w:t>杭州智能科技有限公司  |  AI Agent 开发工程师</w:t>
      </w:r>
      <w:r>
        <w:rPr>
          <w:rFonts w:ascii="Arial" w:hAnsi="Arial" w:eastAsia="Hiragino Sans GB" w:cs="Arial"/>
          <w:b w:val="0"/>
          <w:color w:val="555555"/>
          <w:sz w:val="19"/>
          <w:lang w:eastAsia="zh-CN"/>
        </w:rPr>
        <w:tab/>
        <w:t>2026.05 - 至今</w:t>
      </w:r>
    </w:p>
    <w:p>
      <w:pPr>
        <w:keepNext w:val="0"/>
        <w:keepLines/>
        <w:widowControl/>
        <w:spacing w:before="0" w:after="80" w:line="259" w:lineRule="auto"/>
        <w:ind w:left="159" w:hanging="159"/>
      </w:pPr>
      <w:r>
        <w:rPr>
          <w:rFonts w:ascii="Arial" w:hAnsi="Arial" w:eastAsia="Hiragino Sans GB"/>
          <w:b/>
          <w:color w:val="000000"/>
          <w:sz w:val="20"/>
        </w:rPr>
        <w:t>• 产品设计与实现：</w:t>
      </w:r>
      <w:r>
        <w:rPr>
          <w:rFonts w:ascii="Arial" w:hAnsi="Arial" w:eastAsia="Hiragino Sans GB"/>
          <w:b w:val="0"/>
          <w:color w:val="000000"/>
          <w:sz w:val="20"/>
        </w:rPr>
        <w:t>负责 RFQ 结构化、选品复核及评测迭代的需求与交互，参与字段契约、DeepSeek 抽取接入、React 工作台和评测脚本实现。</w:t>
      </w:r>
    </w:p>
    <w:p>
      <w:pPr>
        <w:keepNext w:val="0"/>
        <w:keepLines/>
        <w:widowControl/>
        <w:spacing w:before="0" w:after="80" w:line="259" w:lineRule="auto"/>
        <w:ind w:left="159" w:hanging="159"/>
      </w:pPr>
      <w:r>
        <w:rPr>
          <w:rFonts w:ascii="Arial" w:hAnsi="Arial" w:eastAsia="Hiragino Sans GB"/>
          <w:b/>
          <w:color w:val="000000"/>
          <w:sz w:val="20"/>
        </w:rPr>
        <w:t>• 协作与验收：</w:t>
      </w:r>
      <w:r>
        <w:rPr>
          <w:rFonts w:ascii="Arial" w:hAnsi="Arial" w:eastAsia="Hiragino Sans GB"/>
          <w:b w:val="0"/>
          <w:color w:val="000000"/>
          <w:sz w:val="20"/>
        </w:rPr>
        <w:t>在2人核心团队中负责需求、流程、方案取舍和业务验收；与开发者共同明确接口契约、讨论实现成本，依据实际操作、失败案例与回归结果安排迭代。</w:t>
      </w:r>
    </w:p>
    <w:p>
      <w:pPr>
        <w:pStyle w:val="Heading1"/>
        <w:widowControl/>
        <w:spacing w:before="140" w:after="80" w:line="264" w:lineRule="auto"/>
        <w:keepNext/>
      </w:pPr>
      <w:r>
        <w:rPr>
          <w:rFonts w:ascii="Arial" w:hAnsi="Arial" w:eastAsia="Hiragino Sans GB" w:cs="Arial"/>
          <w:b/>
          <w:color w:val="000000"/>
          <w:sz w:val="24"/>
          <w:lang w:eastAsia="zh-CN"/>
        </w:rPr>
        <w:t>项目经历</w:t>
      </w:r>
    </w:p>
    <w:p>
      <w:pPr>
        <w:keepNext/>
        <w:keepLines/>
        <w:widowControl/>
        <w:tabs>
          <w:tab w:pos="10035" w:val="right"/>
        </w:tabs>
        <w:spacing w:before="0" w:after="80" w:line="264" w:lineRule="auto"/>
      </w:pPr>
      <w:r>
        <w:rPr>
          <w:rFonts w:ascii="Arial" w:hAnsi="Arial" w:eastAsia="Hiragino Sans GB" w:cs="Arial"/>
          <w:b/>
          <w:color w:val="222222"/>
          <w:sz w:val="22"/>
        </w:rPr>
        <w:t>Commexa  |  工业询价与报价平台</w:t>
      </w:r>
      <w:r>
        <w:rPr>
          <w:rFonts w:ascii="Arial" w:hAnsi="Arial" w:eastAsia="Hiragino Sans GB" w:cs="Arial"/>
          <w:b w:val="0"/>
          <w:color w:val="555555"/>
          <w:sz w:val="19"/>
        </w:rPr>
        <w:tab/>
        <w:t>产品负责人  2026.05 - 2026.09</w:t>
      </w:r>
    </w:p>
    <w:p>
      <w:pPr>
        <w:keepNext/>
        <w:keepLines/>
        <w:widowControl/>
        <w:spacing w:before="0" w:after="60" w:line="264" w:lineRule="auto"/>
      </w:pPr>
      <w:r>
        <w:rPr>
          <w:rFonts w:ascii="Arial" w:hAnsi="Arial" w:eastAsia="Hiragino Sans GB" w:cs="Arial"/>
          <w:b w:val="0"/>
          <w:color w:val="555555"/>
          <w:sz w:val="20"/>
        </w:rPr>
        <w:t>服务一家工业电气经销商的8名报价销售、2名技术选品人员，覆盖邮件、微信与采购清单来源的询价，辅助逐行整理、选品核对和报价准备。</w:t>
      </w:r>
    </w:p>
    <w:p>
      <w:pPr>
        <w:keepNext/>
        <w:keepLines/>
        <w:widowControl/>
        <w:spacing w:after="60" w:line="259" w:lineRule="auto"/>
      </w:pPr>
      <w:r>
        <w:rPr>
          <w:rFonts w:ascii="Arial" w:hAnsi="Arial" w:eastAsia="Hiragino Sans GB"/>
          <w:b w:val="0"/>
          <w:color w:val="1765B5"/>
          <w:sz w:val="19"/>
        </w:rPr>
        <w:t>【待补充：项目、4周使用及8周统计的起止日期】</w:t>
      </w:r>
    </w:p>
    <w:p>
      <w:pPr>
        <w:keepNext w:val="0"/>
        <w:keepLines/>
        <w:widowControl/>
        <w:spacing w:before="0" w:after="8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需求验证：</w:t>
      </w:r>
      <w:r>
        <w:rPr>
          <w:rFonts w:ascii="Arial" w:hAnsi="Arial" w:eastAsia="Hiragino Sans GB" w:cs="Arial"/>
          <w:b w:val="0"/>
          <w:color w:val="000000"/>
          <w:sz w:val="20"/>
        </w:rPr>
        <w:t>访谈6名销售、2名技术人员，并观察30份历史询价；针对俗称与型号难检索、内部编码重复核对、漏行漏数量及审批版次混淆，确定逐行结构化、候选比较、例外分流与版本约束。</w:t>
      </w:r>
    </w:p>
    <w:p>
      <w:pPr>
        <w:keepNext w:val="0"/>
        <w:keepLines/>
        <w:widowControl/>
        <w:spacing w:before="0" w:after="8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方案取舍：</w:t>
      </w:r>
      <w:r>
        <w:rPr>
          <w:rFonts w:ascii="Arial" w:hAnsi="Arial" w:eastAsia="Hiragino Sans GB" w:cs="Arial"/>
          <w:b w:val="0"/>
          <w:color w:val="000000"/>
          <w:sz w:val="20"/>
        </w:rPr>
        <w:t>完整型号优先精确召回，口语描述补充词项与向量检索，再重排和证据复核；内部 SKU／目录缺资料转内部核对，仅对影响选型且客户能回答的信息发起澄清。</w:t>
      </w:r>
    </w:p>
    <w:p>
      <w:pPr>
        <w:keepNext w:val="0"/>
        <w:keepLines/>
        <w:widowControl/>
        <w:spacing w:before="0" w:after="80" w:line="259" w:lineRule="auto"/>
        <w:ind w:left="159" w:hanging="159"/>
      </w:pPr>
      <w:r>
        <w:rPr>
          <w:rFonts w:ascii="Arial" w:hAnsi="Arial" w:eastAsia="Hiragino Sans GB"/>
          <w:b/>
          <w:color w:val="000000"/>
          <w:sz w:val="20"/>
        </w:rPr>
        <w:t>• 审核与验收：</w:t>
      </w:r>
      <w:r>
        <w:rPr>
          <w:rFonts w:ascii="Arial" w:hAnsi="Arial" w:eastAsia="Hiragino Sans GB"/>
          <w:b w:val="0"/>
          <w:color w:val="000000"/>
          <w:sz w:val="20"/>
        </w:rPr>
        <w:t>分离模型建议与执行，人工确认商品与数量，价格取权威来源，改版重校审批；按销售、技术、审批及管理员角色验收缺数量、禁止替代、ERP断线、重复提交和旧版操作，核对数据保存与状态。</w:t>
      </w:r>
    </w:p>
    <w:p>
      <w:pPr>
        <w:keepNext w:val="0"/>
        <w:keepLines/>
        <w:widowControl/>
        <w:spacing w:before="0" w:after="8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使用验证：</w:t>
      </w:r>
      <w:r>
        <w:rPr>
          <w:rFonts w:ascii="Arial" w:hAnsi="Arial" w:eastAsia="Hiragino Sans GB" w:cs="Arial"/>
          <w:b w:val="0"/>
          <w:color w:val="000000"/>
          <w:sz w:val="20"/>
        </w:rPr>
        <w:t>10名员工连续使用4周，处理240份询价；审计其中120份、600行：提取无需修改552/600（92%），唯一推荐覆盖420/600（70%），人工审核后原样采用399/420（95%）。</w:t>
      </w:r>
    </w:p>
    <w:p>
      <w:pPr>
        <w:keepLines/>
        <w:widowControl/>
        <w:spacing w:after="80" w:line="259" w:lineRule="auto"/>
        <w:ind w:left="159" w:hanging="159"/>
      </w:pPr>
      <w:r>
        <w:rPr>
          <w:rFonts w:ascii="Arial" w:hAnsi="Arial" w:eastAsia="Hiragino Sans GB"/>
          <w:b/>
          <w:color w:val="000000"/>
          <w:sz w:val="20"/>
        </w:rPr>
        <w:t>• 实测效果：</w:t>
      </w:r>
      <w:r>
        <w:rPr>
          <w:rFonts w:ascii="Arial" w:hAnsi="Arial" w:eastAsia="Hiragino Sans GB"/>
          <w:b w:val="0"/>
          <w:color w:val="000000"/>
          <w:sz w:val="20"/>
        </w:rPr>
        <w:t>30份10–15行含附件询价，从打开询价至保存待审批草稿平均60→32分钟（下降46.7%），含模型等待与人工审核，排除客户补资料、供应商回价及主管审批等待；8周有效询价完成240/300份审核报价草稿，完成率80%。</w:t>
      </w:r>
    </w:p>
    <w:p>
      <w:pPr>
        <w:keepLines/>
        <w:widowControl/>
        <w:spacing w:line="259" w:lineRule="auto" w:after="80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反馈迭代：</w:t>
      </w:r>
      <w:r>
        <w:rPr>
          <w:rFonts w:ascii="Arial" w:hAnsi="Arial" w:eastAsia="Hiragino Sans GB" w:cs="Arial"/>
          <w:b w:val="0"/>
          <w:color w:val="000000"/>
          <w:sz w:val="20"/>
        </w:rPr>
        <w:t>根据销售、技术和主管反馈，迭代待处理队列、区分资料缺失与客户需求缺失、显式提示报价版次与审批状态；通过固定回归集和下一周期抽检验证。</w:t>
      </w:r>
    </w:p>
    <w:p>
      <w:pPr>
        <w:keepNext/>
        <w:keepLines/>
        <w:pageBreakBefore/>
        <w:widowControl/>
        <w:tabs>
          <w:tab w:pos="10035" w:val="right"/>
        </w:tabs>
        <w:spacing w:before="0" w:after="60" w:line="264" w:lineRule="auto"/>
      </w:pPr>
      <w:r>
        <w:rPr>
          <w:rFonts w:ascii="Arial" w:hAnsi="Arial" w:eastAsia="Hiragino Sans GB" w:cs="Arial"/>
          <w:b/>
          <w:color w:val="000000"/>
          <w:sz w:val="22"/>
          <w:lang w:eastAsia="zh-CN"/>
        </w:rPr>
        <w:t>OrgMesh  |  企业知识与 Agent 工作台</w:t>
        <w:tab/>
        <w:t>个人开源二次开发</w:t>
      </w:r>
    </w:p>
    <w:p>
      <w:pPr>
        <w:keepNext/>
        <w:keepLines/>
        <w:widowControl/>
        <w:spacing w:before="0" w:after="60" w:line="264" w:lineRule="auto"/>
      </w:pPr>
      <w:r>
        <w:rPr>
          <w:rFonts w:ascii="Arial" w:hAnsi="Arial" w:eastAsia="Hiragino Sans GB" w:cs="Arial"/>
          <w:b w:val="0"/>
          <w:color w:val="000000"/>
          <w:sz w:val="20"/>
        </w:rPr>
        <w:t>基于 Onyx Community v4.8.1，面向制度查询、员工入职和组织信息检索，扩展企业知识接入与中文使用场景，集成 Presenton。</w:t>
      </w:r>
    </w:p>
    <w:p>
      <w:pPr>
        <w:keepNext/>
        <w:keepLines/>
        <w:widowControl/>
        <w:spacing w:after="60" w:line="259" w:lineRule="auto"/>
      </w:pPr>
      <w:r>
        <w:rPr>
          <w:rFonts w:ascii="Arial" w:hAnsi="Arial" w:eastAsia="Hiragino Sans GB" w:cs="Arial"/>
          <w:b w:val="0"/>
          <w:color w:val="2454A6"/>
          <w:sz w:val="19"/>
        </w:rPr>
        <w:t>【待补充：项目起止时间、用户访谈或需求依据、首期范围与取舍】</w:t>
      </w:r>
    </w:p>
    <w:p>
      <w:pPr>
        <w:keepNext w:val="0"/>
        <w:keepLines/>
        <w:widowControl/>
        <w:spacing w:before="0" w:after="6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产品与集成：</w:t>
      </w:r>
      <w:r>
        <w:rPr>
          <w:rFonts w:ascii="Arial" w:hAnsi="Arial" w:eastAsia="Hiragino Sans GB" w:cs="Arial"/>
          <w:b w:val="0"/>
          <w:color w:val="000000"/>
          <w:sz w:val="20"/>
        </w:rPr>
        <w:t>围绕飞书知识与组织信息、中文 PDF OCR、企业术语和 Agent 模板推进二次开发，复用上游搜索问答能力，梳理知识库绑定、工具调用与来源引用流程。</w:t>
      </w:r>
    </w:p>
    <w:p>
      <w:pPr>
        <w:keepNext w:val="0"/>
        <w:keepLines/>
        <w:widowControl/>
        <w:spacing w:before="0" w:after="6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关键取舍：</w:t>
      </w:r>
      <w:r>
        <w:rPr>
          <w:rFonts w:ascii="Arial" w:hAnsi="Arial" w:eastAsia="Hiragino Sans GB" w:cs="Arial"/>
          <w:b w:val="0"/>
          <w:color w:val="000000"/>
          <w:sz w:val="20"/>
        </w:rPr>
        <w:t>针对企业缩写与中英术语设计词表和查询扩展；将用户隔离、身份未就绪暂停请求、鉴权失败隐藏缓存和来源权限复核纳入验收条件。</w:t>
      </w:r>
    </w:p>
    <w:p>
      <w:pPr>
        <w:keepNext w:val="0"/>
        <w:keepLines/>
        <w:widowControl/>
        <w:spacing w:before="0" w:after="6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迭代交付：</w:t>
      </w:r>
      <w:r>
        <w:rPr>
          <w:rFonts w:ascii="Arial" w:hAnsi="Arial" w:eastAsia="Hiragino Sans GB" w:cs="Arial"/>
          <w:b w:val="0"/>
          <w:color w:val="000000"/>
          <w:sz w:val="20"/>
        </w:rPr>
        <w:t>基于 Python／FastAPI 与 Next.js 推进企业功能扩展，完成部分合成中文资料的本地链路验证；企业真实语料、SSO、并发与整体验收仍在推进。</w:t>
      </w:r>
    </w:p>
    <w:p>
      <w:pPr>
        <w:keepNext w:val="0"/>
        <w:keepLines/>
        <w:widowControl/>
        <w:spacing w:before="0" w:after="6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评测设计：</w:t>
      </w:r>
      <w:r>
        <w:rPr>
          <w:rFonts w:ascii="Arial" w:hAnsi="Arial" w:eastAsia="Hiragino Sans GB" w:cs="Arial"/>
          <w:b w:val="0"/>
          <w:color w:val="000000"/>
          <w:sz w:val="20"/>
        </w:rPr>
        <w:t>使用 Recall@K、MRR 分别检查召回与排序，回归权限和失败分支；通过公开仓库记录迭代，GitHub 103 Stars（截至2026.10.07）。</w:t>
      </w:r>
    </w:p>
    <w:p>
      <w:pPr>
        <w:keepLines/>
        <w:widowControl/>
        <w:spacing w:after="60" w:line="259" w:lineRule="auto"/>
      </w:pPr>
      <w:r>
        <w:rPr>
          <w:rFonts w:ascii="Arial" w:hAnsi="Arial" w:eastAsia="Hiragino Sans GB" w:cs="Arial"/>
          <w:b w:val="0"/>
          <w:color w:val="2454A6"/>
          <w:sz w:val="19"/>
        </w:rPr>
        <w:t>【待补充：评测集规模与前后指标、真实用户反馈、本人独立完成模块】</w:t>
      </w:r>
    </w:p>
    <w:p>
      <w:pPr>
        <w:pStyle w:val="Heading1"/>
        <w:widowControl/>
        <w:spacing w:before="140" w:after="80" w:line="264" w:lineRule="auto"/>
        <w:keepNext/>
      </w:pPr>
      <w:r>
        <w:rPr>
          <w:rFonts w:ascii="Arial" w:hAnsi="Arial" w:eastAsia="Hiragino Sans GB" w:cs="Arial"/>
          <w:b/>
          <w:color w:val="000000"/>
          <w:sz w:val="24"/>
          <w:lang w:eastAsia="zh-CN"/>
        </w:rPr>
        <w:t>教育经历</w:t>
      </w:r>
    </w:p>
    <w:p>
      <w:pPr>
        <w:keepNext/>
        <w:keepLines/>
        <w:widowControl/>
        <w:tabs>
          <w:tab w:pos="10035" w:val="right"/>
        </w:tabs>
        <w:spacing w:before="0" w:after="60" w:line="264" w:lineRule="auto"/>
      </w:pPr>
      <w:r>
        <w:rPr>
          <w:rFonts w:ascii="Arial" w:hAnsi="Arial" w:eastAsia="Hiragino Sans GB" w:cs="Arial"/>
          <w:b w:val="0"/>
          <w:color w:val="222222"/>
          <w:sz w:val="21"/>
          <w:lang w:eastAsia="zh-CN"/>
        </w:rPr>
        <w:t>上海理工大学  |  系统科学 硕士</w:t>
        <w:tab/>
        <w:t>2023.09 - 2026.06</w:t>
      </w:r>
    </w:p>
    <w:p>
      <w:pPr>
        <w:keepNext/>
        <w:keepLines/>
        <w:widowControl/>
        <w:tabs>
          <w:tab w:pos="10035" w:val="right"/>
        </w:tabs>
        <w:spacing w:before="0" w:after="60" w:line="264" w:lineRule="auto"/>
      </w:pPr>
      <w:r>
        <w:rPr>
          <w:rFonts w:ascii="Arial" w:hAnsi="Arial" w:eastAsia="Hiragino Sans GB" w:cs="Arial"/>
          <w:b w:val="0"/>
          <w:color w:val="222222"/>
          <w:sz w:val="21"/>
          <w:lang w:eastAsia="zh-CN"/>
        </w:rPr>
        <w:t>湖南财政经济学院  |  国际经济与贸易 本科</w:t>
        <w:tab/>
        <w:t>2019.09 - 2023.06</w:t>
      </w:r>
    </w:p>
    <w:p>
      <w:pPr>
        <w:keepNext/>
        <w:keepLines/>
        <w:widowControl/>
        <w:spacing w:before="0" w:after="60" w:line="264" w:lineRule="auto"/>
      </w:pPr>
      <w:r>
        <w:rPr>
          <w:rFonts w:ascii="Arial" w:hAnsi="Arial" w:eastAsia="Hiragino Sans GB" w:cs="Arial"/>
          <w:b w:val="0"/>
          <w:color w:val="555555"/>
          <w:sz w:val="19"/>
          <w:lang w:eastAsia="zh-CN"/>
        </w:rPr>
        <w:t>研究方向：强化学习自动驾驶  |  中国研究生数学建模竞赛二等奖（2023、2024）</w:t>
      </w:r>
    </w:p>
    <w:p>
      <w:pPr>
        <w:pStyle w:val="Heading1"/>
        <w:widowControl/>
        <w:spacing w:before="140" w:after="80" w:line="264" w:lineRule="auto"/>
        <w:keepNext/>
      </w:pPr>
      <w:r>
        <w:rPr>
          <w:rFonts w:ascii="Arial" w:hAnsi="Arial" w:eastAsia="Hiragino Sans GB" w:cs="Arial"/>
          <w:b/>
          <w:color w:val="000000"/>
          <w:sz w:val="24"/>
          <w:lang w:eastAsia="zh-CN"/>
        </w:rPr>
        <w:t>专业能力</w:t>
      </w:r>
    </w:p>
    <w:p>
      <w:pPr>
        <w:keepNext w:val="0"/>
        <w:keepLines/>
        <w:widowControl/>
        <w:spacing w:before="0" w:after="6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产品设计：</w:t>
      </w:r>
      <w:r>
        <w:rPr>
          <w:rFonts w:ascii="Arial" w:hAnsi="Arial" w:eastAsia="Hiragino Sans GB" w:cs="Arial"/>
          <w:b w:val="0"/>
          <w:color w:val="000000"/>
          <w:sz w:val="20"/>
        </w:rPr>
        <w:t>用户访谈、需求优先级、流程与异常设计、人工确认／审批、权限边界、可验证的验收条件。</w:t>
      </w:r>
    </w:p>
    <w:p>
      <w:pPr>
        <w:keepNext w:val="0"/>
        <w:keepLines/>
        <w:widowControl/>
        <w:spacing w:before="0" w:after="60" w:line="259" w:lineRule="auto"/>
        <w:ind w:left="159" w:hanging="159"/>
      </w:pPr>
      <w:r>
        <w:rPr>
          <w:rFonts w:ascii="Arial" w:hAnsi="Arial" w:eastAsia="Hiragino Sans GB" w:cs="Arial"/>
          <w:b/>
          <w:color w:val="000000"/>
          <w:sz w:val="20"/>
        </w:rPr>
        <w:t>• AI 与评测：</w:t>
      </w:r>
      <w:r>
        <w:rPr>
          <w:rFonts w:ascii="Arial" w:hAnsi="Arial" w:eastAsia="Hiragino Sans GB" w:cs="Arial"/>
          <w:b w:val="0"/>
          <w:color w:val="000000"/>
          <w:sz w:val="20"/>
        </w:rPr>
        <w:t>Agent 工作流、工具调用、RAG、混合检索与引用；按抽取质量、推荐覆盖、人工采用和总耗时分别定义指标。</w:t>
      </w:r>
    </w:p>
    <w:p>
      <w:pPr>
        <w:keepNext w:val="0"/>
        <w:keepLines/>
        <w:widowControl/>
        <w:spacing w:before="0" w:after="80" w:line="259" w:lineRule="auto"/>
        <w:ind w:left="159" w:hanging="159"/>
      </w:pPr>
      <w:r>
        <w:rPr>
          <w:rFonts w:ascii="Arial" w:hAnsi="Arial" w:eastAsia="Hiragino Sans GB"/>
          <w:b/>
          <w:color w:val="000000"/>
          <w:sz w:val="20"/>
        </w:rPr>
        <w:t>• 技术协作：</w:t>
      </w:r>
      <w:r>
        <w:rPr>
          <w:rFonts w:ascii="Arial" w:hAnsi="Arial" w:eastAsia="Hiragino Sans GB"/>
          <w:b w:val="0"/>
          <w:color w:val="000000"/>
          <w:sz w:val="20"/>
        </w:rPr>
        <w:t>Python／FastAPI、TypeScript／React、SQL；参与可演示原型、接口联调与回归脚本，借助 AI 编程工具辅助开发、调试和测试。</w:t>
      </w:r>
    </w:p>
    <w:p>
      <w:pPr>
        <w:pStyle w:val="Heading1"/>
        <w:widowControl/>
        <w:spacing w:before="140" w:after="80" w:line="264" w:lineRule="auto"/>
        <w:keepNext/>
      </w:pPr>
      <w:r>
        <w:rPr>
          <w:rFonts w:ascii="Arial" w:hAnsi="Arial" w:eastAsia="Hiragino Sans GB" w:cs="Arial"/>
          <w:b/>
          <w:color w:val="000000"/>
          <w:sz w:val="24"/>
          <w:lang w:eastAsia="zh-CN"/>
        </w:rPr>
        <w:t>学术研究</w:t>
      </w:r>
    </w:p>
    <w:p>
      <w:pPr>
        <w:keepNext/>
        <w:keepLines/>
        <w:widowControl/>
        <w:spacing w:before="0" w:after="60" w:line="264" w:lineRule="auto"/>
      </w:pPr>
      <w:r>
        <w:rPr>
          <w:rFonts w:ascii="Arial" w:hAnsi="Arial" w:eastAsia="Hiragino Sans GB" w:cs="Arial"/>
          <w:b w:val="0"/>
          <w:color w:val="222222"/>
          <w:sz w:val="19"/>
          <w:lang w:eastAsia="zh-CN"/>
        </w:rPr>
        <w:t>Safe, Efficient, and Energy-Saving Speed Control for Autonomous Driving Based on Reinforcement Learning</w:t>
      </w:r>
    </w:p>
    <w:p>
      <w:pPr>
        <w:keepNext/>
        <w:keepLines/>
        <w:widowControl/>
        <w:spacing w:before="0" w:after="60" w:line="264" w:lineRule="auto"/>
      </w:pPr>
      <w:r>
        <w:rPr>
          <w:rFonts w:ascii="Arial" w:hAnsi="Arial" w:eastAsia="Hiragino Sans GB" w:cs="Arial"/>
          <w:b w:val="0"/>
          <w:color w:val="555555"/>
          <w:sz w:val="19"/>
          <w:lang w:eastAsia="zh-CN"/>
        </w:rPr>
        <w:t>Proc. IMechE, Part D: Journal of Automobile Engineering</w:t>
      </w:r>
    </w:p>
    <w:p>
      <w:pPr>
        <w:keepLines/>
        <w:widowControl/>
        <w:spacing w:after="60" w:line="259" w:lineRule="auto"/>
      </w:pPr>
      <w:r>
        <w:rPr>
          <w:rFonts w:ascii="Arial" w:hAnsi="Arial" w:eastAsia="Hiragino Sans GB" w:cs="Arial"/>
          <w:b w:val="0"/>
          <w:color w:val="1765B5"/>
          <w:sz w:val="19"/>
          <w:lang w:eastAsia="zh-CN"/>
        </w:rPr>
        <w:t>【待补充：作者顺序、发表／录用状态、年份及 DOI】</w:t>
      </w:r>
    </w:p>
    <w:p>
      <w:pPr>
        <w:keepNext w:val="0"/>
        <w:keepLines/>
        <w:widowControl/>
        <w:spacing w:before="0" w:after="60" w:line="264" w:lineRule="auto"/>
      </w:pPr>
      <w:r>
        <w:rPr>
          <w:rFonts w:ascii="Arial" w:hAnsi="Arial" w:eastAsia="Hiragino Sans GB" w:cs="Arial"/>
          <w:b w:val="0"/>
          <w:color w:val="222222"/>
          <w:sz w:val="19"/>
          <w:lang w:eastAsia="zh-CN"/>
        </w:rPr>
        <w:t>Separating State Reconstruction from Fault Removal in Robot Recovery Evaluation  |  IEEE ICRA（投稿中）</w:t>
      </w:r>
    </w:p>
    <w:p>
      <w:pPr>
        <w:keepLines/>
        <w:widowControl/>
        <w:spacing w:after="60" w:line="259" w:lineRule="auto"/>
      </w:pPr>
      <w:r>
        <w:rPr>
          <w:rFonts w:ascii="Arial" w:hAnsi="Arial" w:eastAsia="Hiragino Sans GB" w:cs="Arial"/>
          <w:b w:val="0"/>
          <w:color w:val="1765B5"/>
          <w:sz w:val="19"/>
          <w:lang w:eastAsia="zh-CN"/>
        </w:rPr>
        <w:t>【待补充：投稿年份、作者顺序及本人研究贡献】</w:t>
      </w:r>
    </w:p>
    <w:sectPr w:rsidR="00FC693F" w:rsidRPr="0006063C" w:rsidSect="00034616">
      <w:pgSz w:w="11906" w:h="16838"/>
      <w:pgMar w:top="765" w:right="935" w:bottom="765" w:left="935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UseHTMLParagraphAutoSpacing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44"/>
    </w:pPr>
    <w:rPr>
      <w:rFonts w:ascii="Arial" w:hAnsi="Arial" w:eastAsia="Hiragino Sans GB"/>
      <w:color w:val="000000"/>
      <w:sz w:val="20"/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Hiragino Sans GB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Hiragino Sans GB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color w:val="000000"/>
      <w:sz w:val="28"/>
      <w:szCs w:val="28"/>
      <w:lang w:val="zh-CN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Hiragino Sans GB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Hiragino Sans GB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Hiragino Sans GB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Hiragino Sans GB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Hiragino Sans GB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Hiragino Sans GB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Hiragino Sans GB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Hiragino Sans GB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Hiragino Sans GB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Hiragino Sans GB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Hiragino Sans GB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Hiragino Sans GB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Hiragino Sans GB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Hiragino Sans GB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Hiragino Sans GB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Hiragino Sans GB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Hiragino Sans GB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Hiragino Sans GB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Hiragino Sans GB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Hiragino Sans GB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Hiragino Sans GB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Hiragino Sans GB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Hiragino Sans GB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Hiragino Sans GB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Hiragino Sans GB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Hiragino Sans GB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Hiragino Sans GB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Hiragino Sans GB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Hiragino Sans GB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Hiragino Sans GB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Hiragino Sans GB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ithub.com/het2333" TargetMode="External"/><Relationship Id="rId10" Type="http://schemas.openxmlformats.org/officeDocument/2006/relationships/image" Target="media/image1.jpeg"/><Relationship Id="rId11" Type="http://schemas.openxmlformats.org/officeDocument/2006/relationships/hyperlink" Target="https://github.com/het2333/OrgMes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唐何 AI产品经理简历</dc:title>
  <dc:subject>B端AI产品经理 技术型产品经理</dc:subject>
  <dc:creator>唐何</dc:creator>
  <cp:keywords>AI产品经理, 技术型产品经理, Agent, RAG, B端产品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